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EA328" w14:textId="77777777" w:rsidR="0072220C" w:rsidRPr="00505D99" w:rsidRDefault="0072220C" w:rsidP="009E0E2C">
      <w:pPr>
        <w:jc w:val="center"/>
        <w:rPr>
          <w:rFonts w:ascii="Arial" w:hAnsi="Arial" w:cs="Arial"/>
          <w:b/>
          <w:bCs/>
        </w:rPr>
      </w:pPr>
      <w:bookmarkStart w:id="0" w:name="OLE_LINK1"/>
    </w:p>
    <w:p w14:paraId="19D2B5AA" w14:textId="6E4D1F82" w:rsidR="00D16F99" w:rsidRPr="00505D99" w:rsidRDefault="00D16F99" w:rsidP="009E0E2C">
      <w:pPr>
        <w:jc w:val="center"/>
        <w:rPr>
          <w:rFonts w:ascii="Arial" w:hAnsi="Arial" w:cs="Arial"/>
          <w:b/>
          <w:bCs/>
        </w:rPr>
      </w:pPr>
      <w:r w:rsidRPr="00505D99">
        <w:rPr>
          <w:rFonts w:ascii="Arial" w:hAnsi="Arial" w:cs="Arial"/>
          <w:b/>
          <w:bCs/>
        </w:rPr>
        <w:t>Reunião Ordinária do Comitê de Investimentos.</w:t>
      </w:r>
    </w:p>
    <w:p w14:paraId="251B31B9" w14:textId="0949C434" w:rsidR="008B0983" w:rsidRPr="00505D99" w:rsidRDefault="00D16F99" w:rsidP="009E0E2C">
      <w:pPr>
        <w:jc w:val="both"/>
        <w:rPr>
          <w:rFonts w:ascii="Arial" w:hAnsi="Arial" w:cs="Arial"/>
        </w:rPr>
      </w:pPr>
      <w:r w:rsidRPr="00505D99">
        <w:rPr>
          <w:rFonts w:ascii="Arial" w:hAnsi="Arial" w:cs="Arial"/>
        </w:rPr>
        <w:t xml:space="preserve">Aos vinte e </w:t>
      </w:r>
      <w:r w:rsidR="003D4035" w:rsidRPr="00505D99">
        <w:rPr>
          <w:rFonts w:ascii="Arial" w:hAnsi="Arial" w:cs="Arial"/>
        </w:rPr>
        <w:t>sete</w:t>
      </w:r>
      <w:r w:rsidRPr="00505D99">
        <w:rPr>
          <w:rFonts w:ascii="Arial" w:hAnsi="Arial" w:cs="Arial"/>
        </w:rPr>
        <w:t xml:space="preserve"> (2</w:t>
      </w:r>
      <w:r w:rsidR="00505D99" w:rsidRPr="00505D99">
        <w:rPr>
          <w:rFonts w:ascii="Arial" w:hAnsi="Arial" w:cs="Arial"/>
        </w:rPr>
        <w:t>7</w:t>
      </w:r>
      <w:r w:rsidRPr="00505D99">
        <w:rPr>
          <w:rFonts w:ascii="Arial" w:hAnsi="Arial" w:cs="Arial"/>
        </w:rPr>
        <w:t xml:space="preserve">) do mês de </w:t>
      </w:r>
      <w:r w:rsidR="00505D99" w:rsidRPr="00505D99">
        <w:rPr>
          <w:rFonts w:ascii="Arial" w:hAnsi="Arial" w:cs="Arial"/>
        </w:rPr>
        <w:t xml:space="preserve">maio </w:t>
      </w:r>
      <w:r w:rsidRPr="00505D99">
        <w:rPr>
          <w:rFonts w:ascii="Arial" w:hAnsi="Arial" w:cs="Arial"/>
        </w:rPr>
        <w:t xml:space="preserve">de dois mil e vinte e seis, às treze horas, reuniu-se, na sede do Instituto de Previdência dos Servidores Públicos do Município de Guanhães, GuanhãesPrev, situada na Rua Monsenhor Pinheiro, nº 101, Centro, Guanhães/MG, o Comitê de Investimentos, com a presença de Cláudia Aparecida Monteiro dos Santos, Daniel Fernando da Silva, Francielle Elgita de Oliveira Costa, Humberto Salvador Ferreira Lopes e Rosimery Aparecida Inácio de Pinho Procópio, além da participação remota de </w:t>
      </w:r>
      <w:r w:rsidR="001934BC" w:rsidRPr="00505D99">
        <w:rPr>
          <w:rFonts w:ascii="Arial" w:hAnsi="Arial" w:cs="Arial"/>
        </w:rPr>
        <w:t>Rodol</w:t>
      </w:r>
      <w:r w:rsidR="00505D99" w:rsidRPr="00505D99">
        <w:rPr>
          <w:rFonts w:ascii="Arial" w:hAnsi="Arial" w:cs="Arial"/>
        </w:rPr>
        <w:t>ph</w:t>
      </w:r>
      <w:r w:rsidR="001934BC" w:rsidRPr="00505D99">
        <w:rPr>
          <w:rFonts w:ascii="Arial" w:hAnsi="Arial" w:cs="Arial"/>
        </w:rPr>
        <w:t>o Malafaia</w:t>
      </w:r>
      <w:r w:rsidRPr="00505D99">
        <w:rPr>
          <w:rFonts w:ascii="Arial" w:hAnsi="Arial" w:cs="Arial"/>
        </w:rPr>
        <w:t>, representante da Lema Assessoria de Investimentos. Francielle abriu a reunião, cumprimentando os presentes, e informou que a pauta</w:t>
      </w:r>
      <w:r w:rsidR="001934BC" w:rsidRPr="00505D99">
        <w:rPr>
          <w:rFonts w:ascii="Arial" w:hAnsi="Arial" w:cs="Arial"/>
        </w:rPr>
        <w:t xml:space="preserve"> principal seria </w:t>
      </w:r>
      <w:r w:rsidR="00505D99" w:rsidRPr="00505D99">
        <w:rPr>
          <w:rFonts w:ascii="Arial" w:hAnsi="Arial" w:cs="Arial"/>
        </w:rPr>
        <w:t>a análise do cenário econômico, avaliação da carteira de investimentos, acompanhamento da meta atuarial, discussão sobre risco de liquidez da carteira e deliberações acerca dos fundos desenquadrados.</w:t>
      </w:r>
      <w:r w:rsidR="00505D99" w:rsidRPr="00505D99">
        <w:rPr>
          <w:rFonts w:ascii="Arial" w:hAnsi="Arial" w:cs="Arial"/>
        </w:rPr>
        <w:t xml:space="preserve"> Passada a palavra para o Rodolpho ele</w:t>
      </w:r>
      <w:r w:rsidR="00505D99" w:rsidRPr="00505D99">
        <w:rPr>
          <w:rFonts w:ascii="Arial" w:hAnsi="Arial" w:cs="Arial"/>
        </w:rPr>
        <w:t xml:space="preserve"> </w:t>
      </w:r>
      <w:r w:rsidR="00505D99" w:rsidRPr="00505D99">
        <w:rPr>
          <w:rFonts w:ascii="Arial" w:hAnsi="Arial" w:cs="Arial"/>
        </w:rPr>
        <w:t xml:space="preserve">iniciou </w:t>
      </w:r>
      <w:r w:rsidR="00505D99" w:rsidRPr="00505D99">
        <w:rPr>
          <w:rFonts w:ascii="Arial" w:hAnsi="Arial" w:cs="Arial"/>
        </w:rPr>
        <w:t>a reunião</w:t>
      </w:r>
      <w:r w:rsidR="00505D99" w:rsidRPr="00505D99">
        <w:rPr>
          <w:rFonts w:ascii="Arial" w:hAnsi="Arial" w:cs="Arial"/>
        </w:rPr>
        <w:t xml:space="preserve"> com a </w:t>
      </w:r>
      <w:r w:rsidR="00505D99" w:rsidRPr="00505D99">
        <w:rPr>
          <w:rFonts w:ascii="Arial" w:hAnsi="Arial" w:cs="Arial"/>
        </w:rPr>
        <w:t xml:space="preserve">apresentação do cenário inflacionário de 2026, destacando-se que no mês de fevereiro houve impacto inflacionário decorrente do segmento educacional, elevando o índice para aproximadamente 1,16%, sendo ressaltado que em março a inflação alcançou 0,88%, influenciada principalmente pelo aumento dos combustíveis em decorrência do cenário externo e dos reflexos relacionados ao petróleo, afetando passagens, transporte e logística. Foi destacado que a inflação do mês de abril foi de aproximadamente 0,67%, ainda acima do patamar historicamente observado pelos RPPS, especialmente considerando metas atuariais. Durante a apresentação ocorreram interrupções em razão de instabilidade na conexão de internet, sendo ajustadas as câmeras e compartilhamentos para continuidade da reunião. Na sequência foi esclarecido que a carteira do RPPS se encontra majoritariamente posicionada em renda fixa, sendo diretamente impactada pela inflação e pela taxa de juros, motivo pelo qual o comportamento inflacionário deve ser constantemente monitorado. Foi destacado que no mês de abril a inflação foi pressionada principalmente pelos segmentos de alimentação, bebidas, saúde, cuidados pessoais, combustíveis e transporte, refletindo diretamente na comparação entre a rentabilidade da carteira e a meta atuarial. Foi ressaltado ainda que, apesar da inflação resistente, o mercado projeta redução gradual da taxa de juros, cenário considerado positivo para renda variável e para entrada de capital estrangeiro na bolsa brasileira, embora permaneça a preocupação quanto à persistência inflacionária e à instabilidade do ambiente externo. Em continuidade, foi informado que, mesmo com a redução da taxa Selic para 14,50%, ainda existem dúvidas acerca da continuidade dos cortes de juros diante da inflação pressionada, sendo ressaltado que, enquanto persistirem tais incertezas, a estratégia da carteira permanece concentrada nos ativos que vêm entregando resultado consistente, especialmente na renda fixa. Foi destacado que, no mês de abril, praticamente todos os fundos líquidos da carteira apresentaram rentabilidade próxima ou superior a 1%, com exceção de alguns fundos específicos da Caixa e do Banco do Brasil, ficando entre 0,98% e 0,99%, sendo informado que a meta atuarial do mês foi de aproximadamente 1,13% enquanto a carteira apresentou rentabilidade de 0,97%. Também foi observado que, nas janelas de 12, 24 e 36 meses, a carteira vem superando a meta atuarial, demonstrando recuperação de desempenho no longo prazo, mesmo diante das dificuldades enfrentadas em anos anteriores, especialmente em 2022. Em seguida, Rosimery questionou que, apesar do bom desempenho de longo prazo, no primeiro quadrimestre de 2026 o RPPS ainda se encontrava aproximadamente 0,02% abaixo da meta atuarial e mencionou e-mail </w:t>
      </w:r>
      <w:r w:rsidR="00505D99" w:rsidRPr="00505D99">
        <w:rPr>
          <w:rFonts w:ascii="Arial" w:hAnsi="Arial" w:cs="Arial"/>
        </w:rPr>
        <w:lastRenderedPageBreak/>
        <w:t xml:space="preserve">encaminhado anteriormente pela Gestora de Recursos, Francielle, à equipe técnica da consultoria, questionando até quando a carteira permaneceria concentrada em liquidez imediata e renda fixa de curto prazo, considerando o déficit financeiro e atuarial enfrentado pelo Instituto. Rosimery questionou também quais estratégias poderiam ser adotadas para melhorar o perfil da carteira e permitir recuperação da meta atuarial ao longo do exercício. Em resposta, Rodolpho destacou que o RPPS possui monitoramento contínuo do risco e que o principal risco atualmente enfrentado pelo Instituto é o risco de liquidez, não o risco operacional, ressaltando que o RPPS possui governança elevada, processo decisório diligente e adequadamente documentado. Rodolpho explicou que o comportamento da inflação e as decisões futuras do Banco Central impactam diretamente a carteira e informou que uma possível alternativa seria elevar parcialmente a exposição em títulos públicos e letras financeiras de curta duração, especialmente ativos indexados ao IPCA acrescido de taxa adicional, buscando melhorar a rentabilidade sem comprometer excessivamente a liquidez. Rosimery ponderou que, de acordo com o estudo de ALM, o RPPS não possui margem confortável para comprometer recursos em investimentos de prazo mais longo, tendo em vista o elevado volume de resgates necessários para cobertura do déficit financeiro em função da receita arrecadada não estar sendo suficiente para o pagamento da folha dos inativos. Também questionou se títulos públicos ou letras financeiras marcados a mercado ainda poderiam proporcionar rentabilidade superior à renda fixa tradicional de curto prazo, mesmo em eventual necessidade de resgate antecipado. Rodolpho respondeu que entende como viável o aumento moderado da exposição em letras financeiras e títulos públicos de duração limitada, preferencialmente até dois anos, ressaltando que o risco de consumo total do patrimônio até esse prazo não é considerado elevado. Explicou ainda que a marcação na curva pode ser alterada para marcação a mercado ao final de cada exercício, conforme regulamentação vigente. Rosimery então questionou se seria prudente aguardar os vencimentos previstos para agosto antes de realizar novos posicionamentos, considerando o recebimento de recursos provenientes de títulos públicos e letras financeiras ou se poderiam utilizar recursos de fundos que estão performando menos. Rodolfo respondeu que considera importante uma pausa técnica para análise conjunta com a equipe especializada, avaliando alternativas de curto prazo compatíveis com o perfil de liquidez do RPPS. Na sequência, foi discutida a necessidade de formalização mais incisiva das demandas do Comitê junto à consultoria, sugerindo-se o encaminhamento de proposta formal contendo as preocupações do Comitê quanto à inflação, meta atuarial, risco de liquidez e necessidade de construção de plano alternativo à estratégia atual da carteira. Posteriormente, a reunião passou à discussão acerca do fundo CARE 11 e do processo de desinvestimento dos fundos desenquadrados. Foi relatado que já ocorreu reunião anterior com o técnico Felipe, da consultoria, para discussão específica acerca do fundo, ocasião em que foi sugerido seguir paralelamente duas frentes: a tentativa de convocação de assembleia para liquidação do fundo e execução gradual de plano de desinvestimento. Foi informado que existem diversos RPPS na mesma situação, organizados em grupo coordenado pelo RPPS de Cascavel-PR, buscando medidas conjuntas em relação ao fundo e que inclusive a convocação de assemblei com o objetivo de liquidação do fundo já está em andamento pela união dos RPPS´s cotistas do fundo. Foi explicado que, segundo entendimento técnico apresentado, o plano de desinvestimento sugerido prevê alienação gradual de aproximadamente 20% das cotas, estimando-se prazo de aproximadamente 162 dias úteis para saída total, minimizando impactos negativos de mercado. Rosimery destacou a preocupação quanto à elevada concentração da carteira em </w:t>
      </w:r>
      <w:r w:rsidR="00505D99" w:rsidRPr="00505D99">
        <w:rPr>
          <w:rFonts w:ascii="Arial" w:hAnsi="Arial" w:cs="Arial"/>
        </w:rPr>
        <w:lastRenderedPageBreak/>
        <w:t xml:space="preserve">ativos de curtíssimo prazo, ponderando que o RPPS não utilizará integralmente os recursos imediatamente e que talvez exista espaço para diversificação moderada visando maior rentabilidade. Também ressaltou a necessidade de apoio técnico da consultoria para dar segurança às futuras decisões do Comitê. Rodolpho informou que reforçaria internamente junto à equipe técnica a necessidade de análise detalhada da carteira e das alternativas possíveis diante do cenário atual. Em continuidade, foram discutidos os riscos jurídicos, operacionais e financeiros relacionados ao fundo CARE 11, destacando-se a dificuldade de venda das cotas no mercado secundário através da B3, os efeitos dos grupamentos de cotas ocorridos anteriormente, o baixo valor de mercado atual, os elevados custos de administração e a ausência de distribuição efetiva de resultados aos cotistas. Também foi debatida a preocupação com o prazo de dois anos previsto para regularização do desenquadramento, bem como as dificuldades em localizar administradores ou gestores enquadrados nas categorias S1 ou S2 exigidas pela regulamentação vigente. Rosimery destacou a necessidade de atuação diligente do Comitê, inclusive para demonstrar aos órgãos fiscalizadores que todas as medidas possíveis vêm sendo adotadas para resolução da situação. Foi deliberado que Francielle fará contato com representantes do RPPS de Itapevi-SP para obtenção de informações e modelos relacionados ao processo de desinvestimento já realizado por aquele Instituto, especialmente quanto às justificativas utilizadas e aos procedimentos adotados. Também foi deliberado o encaminhamento de novo e-mail à consultoria solicitando análise técnica detalhada da carteira, alternativas para melhoria de rentabilidade, avaliação dos riscos relacionados ao ALM e esclarecimentos adicionais acerca dos procedimentos relacionados ao desinvestimento do CARE 11. Durante a reunião, Francielle informou ainda a inclusão, nos relatórios mensais, de análises complementares relativas à diligência dos fundos, acompanhamento da política de investimentos, enquadramentos e despesas da carteira, visando ampliar o controle e monitoramento dos investimentos do Instituto. Por fim, foi definida a realização da próxima reunião do Comitê para o dia oito de junho de dois mil e vinte e seis, em substituição à data inicialmente prevista, considerando </w:t>
      </w:r>
      <w:r w:rsidR="00505D99">
        <w:rPr>
          <w:rFonts w:ascii="Arial" w:hAnsi="Arial" w:cs="Arial"/>
        </w:rPr>
        <w:t>que três membros do comitê irão participar do congresso da ABIPEM do dia 10 ao dia 12/06 e antecipação se faz necessária</w:t>
      </w:r>
      <w:r w:rsidR="00505D99" w:rsidRPr="00505D99">
        <w:rPr>
          <w:rFonts w:ascii="Arial" w:hAnsi="Arial" w:cs="Arial"/>
        </w:rPr>
        <w:t xml:space="preserve"> para discussão das matérias e organização interna dos trabalhos. </w:t>
      </w:r>
      <w:r w:rsidRPr="00505D99">
        <w:rPr>
          <w:rFonts w:ascii="Arial" w:hAnsi="Arial" w:cs="Arial"/>
        </w:rPr>
        <w:t xml:space="preserve">Na sequência, Francielle apresentou o Relatório de Investimentos, o qual foi analisado e aprovado pelo Comitê. Informou que a carteira do GuanhãesPrev encontra-se segregada entre os segmentos de renda fixa </w:t>
      </w:r>
      <w:r w:rsidR="00341FB3" w:rsidRPr="00341FB3">
        <w:rPr>
          <w:rFonts w:ascii="Arial" w:hAnsi="Arial" w:cs="Arial"/>
        </w:rPr>
        <w:t>99,58</w:t>
      </w:r>
      <w:r w:rsidR="00341FB3" w:rsidRPr="00341FB3">
        <w:rPr>
          <w:rFonts w:ascii="Arial" w:hAnsi="Arial" w:cs="Arial"/>
        </w:rPr>
        <w:t>%</w:t>
      </w:r>
      <w:r w:rsidR="00341FB3" w:rsidRPr="00DC1F79">
        <w:rPr>
          <w:rFonts w:ascii="Arial" w:hAnsi="Arial" w:cs="Arial"/>
        </w:rPr>
        <w:t xml:space="preserve"> </w:t>
      </w:r>
      <w:r w:rsidRPr="00505D99">
        <w:rPr>
          <w:rFonts w:ascii="Arial" w:hAnsi="Arial" w:cs="Arial"/>
        </w:rPr>
        <w:t>e fundo imobiliário 0,</w:t>
      </w:r>
      <w:r w:rsidR="006F3812" w:rsidRPr="00505D99">
        <w:rPr>
          <w:rFonts w:ascii="Arial" w:hAnsi="Arial" w:cs="Arial"/>
        </w:rPr>
        <w:t>4</w:t>
      </w:r>
      <w:r w:rsidR="00341FB3">
        <w:rPr>
          <w:rFonts w:ascii="Arial" w:hAnsi="Arial" w:cs="Arial"/>
        </w:rPr>
        <w:t>2</w:t>
      </w:r>
      <w:r w:rsidRPr="00505D99">
        <w:rPr>
          <w:rFonts w:ascii="Arial" w:hAnsi="Arial" w:cs="Arial"/>
        </w:rPr>
        <w:t xml:space="preserve">%, observando os limites estabelecidos pela Resolução CMN nº 4.963/2021, que autoriza alocação de até 35% em renda variável para RPPS detentores da Certificação Institucional Pró-Gestão Nível III, certificação conquistada pelo Instituto em 21 de julho de 2025. Foi constatada a inexistência de desenquadramentos nos segmentos de renda fixa e fundo imobiliário, bem como verificado que </w:t>
      </w:r>
      <w:r w:rsidR="00341FB3">
        <w:rPr>
          <w:rFonts w:ascii="Arial" w:hAnsi="Arial" w:cs="Arial"/>
        </w:rPr>
        <w:t>86,94</w:t>
      </w:r>
      <w:r w:rsidR="00341FB3" w:rsidRPr="00C028F0">
        <w:rPr>
          <w:rFonts w:ascii="Arial" w:hAnsi="Arial" w:cs="Arial"/>
        </w:rPr>
        <w:t xml:space="preserve">% </w:t>
      </w:r>
      <w:r w:rsidRPr="00505D99">
        <w:rPr>
          <w:rFonts w:ascii="Arial" w:hAnsi="Arial" w:cs="Arial"/>
        </w:rPr>
        <w:t>dos recursos apresentam liquidez inferior a trinta dias, distribuídos em 1</w:t>
      </w:r>
      <w:r w:rsidR="006F3812" w:rsidRPr="00505D99">
        <w:rPr>
          <w:rFonts w:ascii="Arial" w:hAnsi="Arial" w:cs="Arial"/>
        </w:rPr>
        <w:t>3</w:t>
      </w:r>
      <w:r w:rsidRPr="00505D99">
        <w:rPr>
          <w:rFonts w:ascii="Arial" w:hAnsi="Arial" w:cs="Arial"/>
        </w:rPr>
        <w:t xml:space="preserve"> fundos de investimento</w:t>
      </w:r>
      <w:r w:rsidR="00E80DB7" w:rsidRPr="00505D99">
        <w:rPr>
          <w:rFonts w:ascii="Arial" w:hAnsi="Arial" w:cs="Arial"/>
        </w:rPr>
        <w:t xml:space="preserve"> e títulos públicos</w:t>
      </w:r>
      <w:r w:rsidRPr="00505D99">
        <w:rPr>
          <w:rFonts w:ascii="Arial" w:hAnsi="Arial" w:cs="Arial"/>
        </w:rPr>
        <w:t xml:space="preserve">. À luz do cenário econômico apresentado e do posicionamento atual da carteira do GUANHÃES PREV, observou-se que, </w:t>
      </w:r>
      <w:r w:rsidR="006F3812" w:rsidRPr="00505D99">
        <w:rPr>
          <w:rFonts w:ascii="Arial" w:hAnsi="Arial" w:cs="Arial"/>
        </w:rPr>
        <w:t xml:space="preserve">houve um </w:t>
      </w:r>
      <w:r w:rsidR="00341FB3">
        <w:rPr>
          <w:rFonts w:ascii="Arial" w:hAnsi="Arial" w:cs="Arial"/>
        </w:rPr>
        <w:t xml:space="preserve">decaimento </w:t>
      </w:r>
      <w:r w:rsidR="00341FB3" w:rsidRPr="00C028F0">
        <w:rPr>
          <w:rFonts w:ascii="Arial" w:hAnsi="Arial" w:cs="Arial"/>
        </w:rPr>
        <w:t>patrimonial,</w:t>
      </w:r>
      <w:r w:rsidR="00341FB3">
        <w:rPr>
          <w:rFonts w:ascii="Arial" w:hAnsi="Arial" w:cs="Arial"/>
        </w:rPr>
        <w:t xml:space="preserve"> com uma</w:t>
      </w:r>
      <w:r w:rsidR="00341FB3" w:rsidRPr="00C028F0">
        <w:rPr>
          <w:rFonts w:ascii="Arial" w:hAnsi="Arial" w:cs="Arial"/>
        </w:rPr>
        <w:t xml:space="preserve"> rentabilidade </w:t>
      </w:r>
      <w:r w:rsidR="00341FB3">
        <w:rPr>
          <w:rFonts w:ascii="Arial" w:hAnsi="Arial" w:cs="Arial"/>
        </w:rPr>
        <w:t>de 0,97%. O Índice Nacional de Preços ao Consumidor Amplo (IPCA), ficou em 0,67%, no mês de abril. Influenciada pelo desempenho do IPCA no mês de abril, a meta atuarial foi 1,13%</w:t>
      </w:r>
      <w:r w:rsidR="00331DA8" w:rsidRPr="00505D99">
        <w:rPr>
          <w:rFonts w:ascii="Arial" w:hAnsi="Arial" w:cs="Arial"/>
        </w:rPr>
        <w:t xml:space="preserve">, </w:t>
      </w:r>
      <w:r w:rsidRPr="00505D99">
        <w:rPr>
          <w:rFonts w:ascii="Arial" w:hAnsi="Arial" w:cs="Arial"/>
        </w:rPr>
        <w:t xml:space="preserve">mantendo-se a carteira em conformidade com o cenário econômico e com a estratégia adotada. </w:t>
      </w:r>
      <w:r w:rsidR="00341FB3" w:rsidRPr="00AB07CA">
        <w:rPr>
          <w:rFonts w:ascii="Arial" w:hAnsi="Arial" w:cs="Arial"/>
        </w:rPr>
        <w:t xml:space="preserve">O Comitê de Investimentos do GUANHÃES-PREV analisou e atestou a conformidade do relatório de investimentos referente ao mês de </w:t>
      </w:r>
      <w:r w:rsidR="00341FB3">
        <w:rPr>
          <w:rFonts w:ascii="Arial" w:hAnsi="Arial" w:cs="Arial"/>
        </w:rPr>
        <w:t>abril de 2026</w:t>
      </w:r>
      <w:r w:rsidR="00341FB3" w:rsidRPr="00AB07CA">
        <w:rPr>
          <w:rFonts w:ascii="Arial" w:hAnsi="Arial" w:cs="Arial"/>
        </w:rPr>
        <w:t xml:space="preserve"> quanto à rentabilidade e riscos das diversas modalidades de operações realizadas na aplicação dos recursos do GUANHÃES-PREV e da aderência das alocações e processos decisórios de </w:t>
      </w:r>
      <w:r w:rsidR="00341FB3" w:rsidRPr="00AB07CA">
        <w:rPr>
          <w:rFonts w:ascii="Arial" w:hAnsi="Arial" w:cs="Arial"/>
        </w:rPr>
        <w:lastRenderedPageBreak/>
        <w:t>investimento à Política de Investimentos</w:t>
      </w:r>
      <w:r w:rsidR="00341FB3">
        <w:rPr>
          <w:rFonts w:ascii="Arial" w:hAnsi="Arial" w:cs="Arial"/>
        </w:rPr>
        <w:t xml:space="preserve">. </w:t>
      </w:r>
      <w:r w:rsidR="00C31F2F" w:rsidRPr="00505D99">
        <w:rPr>
          <w:rFonts w:ascii="Arial" w:hAnsi="Arial" w:cs="Arial"/>
        </w:rPr>
        <w:t>Após</w:t>
      </w:r>
      <w:r w:rsidR="00425D76" w:rsidRPr="00505D99">
        <w:rPr>
          <w:rFonts w:ascii="Arial" w:hAnsi="Arial" w:cs="Arial"/>
        </w:rPr>
        <w:t xml:space="preserve"> </w:t>
      </w:r>
      <w:r w:rsidR="00C31F2F" w:rsidRPr="00505D99">
        <w:rPr>
          <w:rFonts w:ascii="Arial" w:hAnsi="Arial" w:cs="Arial"/>
        </w:rPr>
        <w:t>as manifestações finais dos participantes e n</w:t>
      </w:r>
      <w:r w:rsidR="008B0983" w:rsidRPr="00505D99">
        <w:rPr>
          <w:rFonts w:ascii="Arial" w:hAnsi="Arial" w:cs="Arial"/>
        </w:rPr>
        <w:t xml:space="preserve">ada mais havendo a tratar, </w:t>
      </w:r>
      <w:r w:rsidR="003E3962" w:rsidRPr="00505D99">
        <w:rPr>
          <w:rFonts w:ascii="Arial" w:hAnsi="Arial" w:cs="Arial"/>
        </w:rPr>
        <w:t xml:space="preserve">a presidente, Francielle Elgita de Oliveira Costa encerrou a reunião, agradecendo a participação de todos. Eu, Rosimery Aparecida Inácio de Pinho Procópio, _________________, Secretária do Comitê de Investimentos, lavrei a presente ata, que, lida e aprovada, será assinada por mim e pelos demais membros presentes. </w:t>
      </w:r>
      <w:r w:rsidR="008B0983" w:rsidRPr="00505D99">
        <w:rPr>
          <w:rFonts w:ascii="Arial" w:hAnsi="Arial" w:cs="Arial"/>
        </w:rPr>
        <w:t xml:space="preserve">Guanhães, </w:t>
      </w:r>
      <w:r w:rsidR="005D5501" w:rsidRPr="00505D99">
        <w:rPr>
          <w:rFonts w:ascii="Arial" w:hAnsi="Arial" w:cs="Arial"/>
        </w:rPr>
        <w:t>2</w:t>
      </w:r>
      <w:r w:rsidR="00341FB3">
        <w:rPr>
          <w:rFonts w:ascii="Arial" w:hAnsi="Arial" w:cs="Arial"/>
        </w:rPr>
        <w:t>7</w:t>
      </w:r>
      <w:r w:rsidR="00E80DB7" w:rsidRPr="00505D99">
        <w:rPr>
          <w:rFonts w:ascii="Arial" w:hAnsi="Arial" w:cs="Arial"/>
        </w:rPr>
        <w:t xml:space="preserve"> de </w:t>
      </w:r>
      <w:r w:rsidR="00341FB3">
        <w:rPr>
          <w:rFonts w:ascii="Arial" w:hAnsi="Arial" w:cs="Arial"/>
        </w:rPr>
        <w:t>maio</w:t>
      </w:r>
      <w:r w:rsidR="006F3812" w:rsidRPr="00505D99">
        <w:rPr>
          <w:rFonts w:ascii="Arial" w:hAnsi="Arial" w:cs="Arial"/>
        </w:rPr>
        <w:t xml:space="preserve"> </w:t>
      </w:r>
      <w:r w:rsidR="00076369" w:rsidRPr="00505D99">
        <w:rPr>
          <w:rFonts w:ascii="Arial" w:hAnsi="Arial" w:cs="Arial"/>
        </w:rPr>
        <w:t>de 2026</w:t>
      </w:r>
      <w:r w:rsidR="008B0983" w:rsidRPr="00505D99">
        <w:rPr>
          <w:rFonts w:ascii="Arial" w:hAnsi="Arial" w:cs="Arial"/>
        </w:rPr>
        <w:t>.</w:t>
      </w:r>
    </w:p>
    <w:p w14:paraId="1F4F42E7" w14:textId="77777777" w:rsidR="008B0983" w:rsidRPr="00505D99" w:rsidRDefault="008B0983" w:rsidP="009E0E2C">
      <w:pPr>
        <w:rPr>
          <w:rFonts w:ascii="Arial" w:hAnsi="Arial" w:cs="Arial"/>
        </w:rPr>
      </w:pPr>
    </w:p>
    <w:p w14:paraId="7BC79505" w14:textId="1FA0973F" w:rsidR="00076369" w:rsidRPr="00505D99" w:rsidRDefault="00E80DB7" w:rsidP="009E0E2C">
      <w:pPr>
        <w:pStyle w:val="SemEspaamento"/>
        <w:spacing w:line="276" w:lineRule="auto"/>
        <w:rPr>
          <w:rFonts w:ascii="Arial" w:hAnsi="Arial" w:cs="Arial"/>
          <w:lang w:val="pt-BR"/>
        </w:rPr>
      </w:pPr>
      <w:r w:rsidRPr="00505D99">
        <w:rPr>
          <w:rFonts w:ascii="Arial" w:hAnsi="Arial" w:cs="Arial"/>
          <w:lang w:val="pt-BR"/>
        </w:rPr>
        <w:t xml:space="preserve">    </w:t>
      </w:r>
      <w:r w:rsidR="00076369" w:rsidRPr="00505D99">
        <w:rPr>
          <w:rFonts w:ascii="Arial" w:hAnsi="Arial" w:cs="Arial"/>
          <w:lang w:val="pt-BR"/>
        </w:rPr>
        <w:t xml:space="preserve">Francielle Elgita de Oliveira Costa       </w:t>
      </w:r>
      <w:r w:rsidR="00F72490" w:rsidRPr="00505D99">
        <w:rPr>
          <w:rFonts w:ascii="Arial" w:hAnsi="Arial" w:cs="Arial"/>
          <w:lang w:val="pt-BR"/>
        </w:rPr>
        <w:t xml:space="preserve">       </w:t>
      </w:r>
      <w:r w:rsidR="00076369" w:rsidRPr="00505D99">
        <w:rPr>
          <w:rFonts w:ascii="Arial" w:hAnsi="Arial" w:cs="Arial"/>
          <w:lang w:val="pt-BR"/>
        </w:rPr>
        <w:t xml:space="preserve"> Rosimery Ap. Inácio de Pinho Procópio  </w:t>
      </w:r>
    </w:p>
    <w:p w14:paraId="32ACD735" w14:textId="35ADD717" w:rsidR="00076369" w:rsidRPr="00505D99" w:rsidRDefault="00076369" w:rsidP="009E0E2C">
      <w:pPr>
        <w:pStyle w:val="SemEspaamento"/>
        <w:spacing w:line="276" w:lineRule="auto"/>
        <w:rPr>
          <w:rFonts w:ascii="Arial" w:hAnsi="Arial" w:cs="Arial"/>
          <w:lang w:val="pt-BR"/>
        </w:rPr>
      </w:pPr>
      <w:r w:rsidRPr="00505D99">
        <w:rPr>
          <w:rFonts w:ascii="Arial" w:hAnsi="Arial" w:cs="Arial"/>
          <w:lang w:val="pt-BR"/>
        </w:rPr>
        <w:t>Presidente do Comitê/Gestor Recursos</w:t>
      </w:r>
      <w:r w:rsidRPr="00505D99">
        <w:rPr>
          <w:rFonts w:ascii="Arial" w:hAnsi="Arial" w:cs="Arial"/>
          <w:lang w:val="pt-BR"/>
        </w:rPr>
        <w:tab/>
        <w:t xml:space="preserve">               </w:t>
      </w:r>
      <w:r w:rsidR="00F72490" w:rsidRPr="00505D99">
        <w:rPr>
          <w:rFonts w:ascii="Arial" w:hAnsi="Arial" w:cs="Arial"/>
          <w:lang w:val="pt-BR"/>
        </w:rPr>
        <w:t xml:space="preserve">            </w:t>
      </w:r>
      <w:r w:rsidRPr="00505D99">
        <w:rPr>
          <w:rFonts w:ascii="Arial" w:hAnsi="Arial" w:cs="Arial"/>
          <w:lang w:val="pt-BR"/>
        </w:rPr>
        <w:t xml:space="preserve">      Secretária</w:t>
      </w:r>
    </w:p>
    <w:p w14:paraId="2BC8D682" w14:textId="77777777" w:rsidR="00076369" w:rsidRPr="00505D99" w:rsidRDefault="00076369" w:rsidP="009E0E2C">
      <w:pPr>
        <w:pStyle w:val="SemEspaamento"/>
        <w:spacing w:line="276" w:lineRule="auto"/>
        <w:rPr>
          <w:rFonts w:ascii="Arial" w:hAnsi="Arial" w:cs="Arial"/>
          <w:lang w:val="pt-BR"/>
        </w:rPr>
      </w:pPr>
      <w:r w:rsidRPr="00505D99">
        <w:rPr>
          <w:rFonts w:ascii="Arial" w:hAnsi="Arial" w:cs="Arial"/>
          <w:lang w:val="pt-BR"/>
        </w:rPr>
        <w:t xml:space="preserve"> </w:t>
      </w:r>
    </w:p>
    <w:p w14:paraId="1322E476" w14:textId="77777777" w:rsidR="00076369" w:rsidRPr="00505D99" w:rsidRDefault="00076369" w:rsidP="009E0E2C">
      <w:pPr>
        <w:pStyle w:val="SemEspaamento"/>
        <w:spacing w:line="276" w:lineRule="auto"/>
        <w:jc w:val="center"/>
        <w:rPr>
          <w:rFonts w:ascii="Arial" w:hAnsi="Arial" w:cs="Arial"/>
          <w:lang w:val="pt-BR"/>
        </w:rPr>
      </w:pPr>
      <w:r w:rsidRPr="00505D99">
        <w:rPr>
          <w:rFonts w:ascii="Arial" w:hAnsi="Arial" w:cs="Arial"/>
          <w:lang w:val="pt-BR"/>
        </w:rPr>
        <w:t xml:space="preserve"> </w:t>
      </w:r>
    </w:p>
    <w:p w14:paraId="3CA34FE5" w14:textId="64D8445A" w:rsidR="00076369" w:rsidRPr="00505D99" w:rsidRDefault="00076369" w:rsidP="009E0E2C">
      <w:pPr>
        <w:pStyle w:val="SemEspaamento"/>
        <w:spacing w:line="276" w:lineRule="auto"/>
        <w:rPr>
          <w:rFonts w:ascii="Arial" w:hAnsi="Arial" w:cs="Arial"/>
          <w:lang w:val="pt-BR"/>
        </w:rPr>
      </w:pPr>
      <w:r w:rsidRPr="00505D99">
        <w:rPr>
          <w:rFonts w:ascii="Arial" w:hAnsi="Arial" w:cs="Arial"/>
          <w:lang w:val="pt-BR"/>
        </w:rPr>
        <w:t xml:space="preserve">Cláudia Ap. Monteiro dos Santos                                  </w:t>
      </w:r>
      <w:r w:rsidR="00F72490" w:rsidRPr="00505D99">
        <w:rPr>
          <w:rFonts w:ascii="Arial" w:hAnsi="Arial" w:cs="Arial"/>
          <w:lang w:val="pt-BR"/>
        </w:rPr>
        <w:t xml:space="preserve"> </w:t>
      </w:r>
      <w:r w:rsidRPr="00505D99">
        <w:rPr>
          <w:rFonts w:ascii="Arial" w:hAnsi="Arial" w:cs="Arial"/>
          <w:lang w:val="pt-BR"/>
        </w:rPr>
        <w:t xml:space="preserve">    Daniel Fernando da Silva</w:t>
      </w:r>
    </w:p>
    <w:p w14:paraId="603CD38A" w14:textId="57C3140D" w:rsidR="00076369" w:rsidRPr="00505D99" w:rsidRDefault="00076369" w:rsidP="009E0E2C">
      <w:pPr>
        <w:pStyle w:val="SemEspaamento"/>
        <w:spacing w:line="276" w:lineRule="auto"/>
        <w:rPr>
          <w:rFonts w:ascii="Arial" w:hAnsi="Arial" w:cs="Arial"/>
          <w:lang w:val="pt-BR"/>
        </w:rPr>
      </w:pPr>
      <w:r w:rsidRPr="00505D99">
        <w:rPr>
          <w:rFonts w:ascii="Arial" w:hAnsi="Arial" w:cs="Arial"/>
          <w:lang w:val="pt-BR"/>
        </w:rPr>
        <w:t xml:space="preserve">                  Membro                                                                          </w:t>
      </w:r>
      <w:proofErr w:type="spellStart"/>
      <w:r w:rsidRPr="00505D99">
        <w:rPr>
          <w:rFonts w:ascii="Arial" w:hAnsi="Arial" w:cs="Arial"/>
          <w:lang w:val="pt-BR"/>
        </w:rPr>
        <w:t>Membro</w:t>
      </w:r>
      <w:proofErr w:type="spellEnd"/>
    </w:p>
    <w:p w14:paraId="6DC11088" w14:textId="77777777" w:rsidR="00D16F99" w:rsidRPr="00505D99" w:rsidRDefault="00D16F99" w:rsidP="009E0E2C">
      <w:pPr>
        <w:pStyle w:val="SemEspaamento"/>
        <w:spacing w:line="276" w:lineRule="auto"/>
        <w:jc w:val="center"/>
        <w:rPr>
          <w:rFonts w:ascii="Arial" w:hAnsi="Arial" w:cs="Arial"/>
          <w:lang w:val="pt-BR"/>
        </w:rPr>
      </w:pPr>
    </w:p>
    <w:p w14:paraId="14650393" w14:textId="66E410E2" w:rsidR="00076369" w:rsidRPr="00505D99" w:rsidRDefault="006F3812" w:rsidP="009E0E2C">
      <w:pPr>
        <w:pStyle w:val="SemEspaamento"/>
        <w:spacing w:line="276" w:lineRule="auto"/>
        <w:jc w:val="center"/>
        <w:rPr>
          <w:rFonts w:ascii="Arial" w:hAnsi="Arial" w:cs="Arial"/>
        </w:rPr>
      </w:pPr>
      <w:r w:rsidRPr="00505D99">
        <w:rPr>
          <w:rFonts w:ascii="Arial" w:hAnsi="Arial" w:cs="Arial"/>
          <w:lang w:val="pt-BR"/>
        </w:rPr>
        <w:br/>
      </w:r>
      <w:r w:rsidR="00076369" w:rsidRPr="00505D99">
        <w:rPr>
          <w:rFonts w:ascii="Arial" w:hAnsi="Arial" w:cs="Arial"/>
          <w:lang w:val="pt-BR"/>
        </w:rPr>
        <w:t>Humberto Salvador Ferreira Lopes</w:t>
      </w:r>
      <w:r w:rsidRPr="00505D99">
        <w:rPr>
          <w:rFonts w:ascii="Arial" w:hAnsi="Arial" w:cs="Arial"/>
          <w:lang w:val="pt-BR"/>
        </w:rPr>
        <w:br/>
      </w:r>
      <w:r w:rsidR="00076369" w:rsidRPr="00505D99">
        <w:rPr>
          <w:rFonts w:ascii="Arial" w:hAnsi="Arial" w:cs="Arial"/>
          <w:lang w:val="pt-BR"/>
        </w:rPr>
        <w:t>Membro</w:t>
      </w:r>
      <w:r w:rsidR="00076369" w:rsidRPr="00505D99">
        <w:rPr>
          <w:rFonts w:ascii="Arial" w:hAnsi="Arial" w:cs="Arial"/>
        </w:rPr>
        <w:t xml:space="preserve"> </w:t>
      </w:r>
    </w:p>
    <w:bookmarkEnd w:id="0"/>
    <w:sectPr w:rsidR="00076369" w:rsidRPr="00505D99" w:rsidSect="003E3962">
      <w:headerReference w:type="even" r:id="rId8"/>
      <w:headerReference w:type="default" r:id="rId9"/>
      <w:footerReference w:type="default" r:id="rId10"/>
      <w:headerReference w:type="first" r:id="rId11"/>
      <w:pgSz w:w="12176" w:h="16838"/>
      <w:pgMar w:top="1417" w:right="1403" w:bottom="1417"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547EF" w14:textId="77777777" w:rsidR="009B7211" w:rsidRPr="00660AAF" w:rsidRDefault="009B7211" w:rsidP="00AE38A1">
      <w:pPr>
        <w:spacing w:after="0" w:line="240" w:lineRule="auto"/>
      </w:pPr>
      <w:r w:rsidRPr="00660AAF">
        <w:separator/>
      </w:r>
    </w:p>
  </w:endnote>
  <w:endnote w:type="continuationSeparator" w:id="0">
    <w:p w14:paraId="7D7A0689" w14:textId="77777777" w:rsidR="009B7211" w:rsidRPr="00660AAF" w:rsidRDefault="009B7211" w:rsidP="00AE38A1">
      <w:pPr>
        <w:spacing w:after="0" w:line="240" w:lineRule="auto"/>
      </w:pPr>
      <w:r w:rsidRPr="00660A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5BDA" w14:textId="77777777" w:rsidR="00AC2144" w:rsidRPr="00660AAF" w:rsidRDefault="006B11D8" w:rsidP="006B11D8">
    <w:pPr>
      <w:jc w:val="center"/>
    </w:pPr>
    <w:r w:rsidRPr="00660AAF">
      <w:rPr>
        <w:rFonts w:cstheme="minorHAnsi"/>
        <w:b/>
        <w:color w:val="17365D" w:themeColor="text2" w:themeShade="BF"/>
        <w:sz w:val="20"/>
        <w:szCs w:val="20"/>
      </w:rPr>
      <w:br/>
    </w:r>
    <w:r w:rsidRPr="00660AAF">
      <w:rPr>
        <w:rFonts w:cstheme="minorHAnsi"/>
        <w:b/>
        <w:color w:val="17365D" w:themeColor="text2" w:themeShade="BF"/>
        <w:sz w:val="20"/>
        <w:szCs w:val="20"/>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7D859" w14:textId="77777777" w:rsidR="009B7211" w:rsidRPr="00660AAF" w:rsidRDefault="009B7211" w:rsidP="00AE38A1">
      <w:pPr>
        <w:spacing w:after="0" w:line="240" w:lineRule="auto"/>
      </w:pPr>
      <w:r w:rsidRPr="00660AAF">
        <w:separator/>
      </w:r>
    </w:p>
  </w:footnote>
  <w:footnote w:type="continuationSeparator" w:id="0">
    <w:p w14:paraId="21C7CD01" w14:textId="77777777" w:rsidR="009B7211" w:rsidRPr="00660AAF" w:rsidRDefault="009B7211" w:rsidP="00AE38A1">
      <w:pPr>
        <w:spacing w:after="0" w:line="240" w:lineRule="auto"/>
      </w:pPr>
      <w:r w:rsidRPr="00660A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237C" w14:textId="77777777" w:rsidR="00AE38A1" w:rsidRPr="00660AAF" w:rsidRDefault="009E0E2C">
    <w:pPr>
      <w:pStyle w:val="Cabealho"/>
    </w:pPr>
    <w:r>
      <w:pict w14:anchorId="09AABE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7" o:spid="_x0000_s1026" type="#_x0000_t75" style="position:absolute;margin-left:0;margin-top:0;width:510.25pt;height:225.45pt;z-index:-251657216;mso-position-horizontal:center;mso-position-horizontal-relative:margin;mso-position-vertical:center;mso-position-vertical-relative:margin" o:allowincell="f">
          <v:imagedata r:id="rId1" o:title="TIMBRE_page-00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22C2" w14:textId="77777777" w:rsidR="00AE38A1" w:rsidRPr="006F3812" w:rsidRDefault="00AC2144" w:rsidP="00AC2144">
    <w:pPr>
      <w:ind w:left="3119" w:hanging="425"/>
      <w:jc w:val="center"/>
      <w:rPr>
        <w:sz w:val="24"/>
        <w:szCs w:val="24"/>
      </w:rPr>
    </w:pPr>
    <w:bookmarkStart w:id="1" w:name="_Hlk126065799"/>
    <w:r w:rsidRPr="006F3812">
      <w:rPr>
        <w:noProof/>
        <w:sz w:val="24"/>
        <w:szCs w:val="24"/>
        <w:lang w:eastAsia="pt-BR"/>
      </w:rPr>
      <w:drawing>
        <wp:anchor distT="0" distB="0" distL="114300" distR="114300" simplePos="0" relativeHeight="251658752" behindDoc="1" locked="0" layoutInCell="1" allowOverlap="1" wp14:anchorId="7666C4BE" wp14:editId="5F969A0B">
          <wp:simplePos x="0" y="0"/>
          <wp:positionH relativeFrom="column">
            <wp:posOffset>139700</wp:posOffset>
          </wp:positionH>
          <wp:positionV relativeFrom="paragraph">
            <wp:posOffset>5080</wp:posOffset>
          </wp:positionV>
          <wp:extent cx="1952625" cy="714375"/>
          <wp:effectExtent l="0" t="0" r="9525" b="9525"/>
          <wp:wrapNone/>
          <wp:docPr id="202891078" name="Imagem 202891078" descr="Descrição: Sem tí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Sem título.jpg"/>
                  <pic:cNvPicPr>
                    <a:picLocks noChangeAspect="1" noChangeArrowheads="1"/>
                  </pic:cNvPicPr>
                </pic:nvPicPr>
                <pic:blipFill>
                  <a:blip r:embed="rId1" cstate="print">
                    <a:extLst>
                      <a:ext uri="{28A0092B-C50C-407E-A947-70E740481C1C}">
                        <a14:useLocalDpi xmlns:a14="http://schemas.microsoft.com/office/drawing/2010/main" val="0"/>
                      </a:ext>
                    </a:extLst>
                  </a:blip>
                  <a:srcRect r="62480"/>
                  <a:stretch>
                    <a:fillRect/>
                  </a:stretch>
                </pic:blipFill>
                <pic:spPr bwMode="auto">
                  <a:xfrm>
                    <a:off x="0" y="0"/>
                    <a:ext cx="1952625" cy="714375"/>
                  </a:xfrm>
                  <a:prstGeom prst="rect">
                    <a:avLst/>
                  </a:prstGeom>
                  <a:noFill/>
                </pic:spPr>
              </pic:pic>
            </a:graphicData>
          </a:graphic>
          <wp14:sizeRelH relativeFrom="page">
            <wp14:pctWidth>0</wp14:pctWidth>
          </wp14:sizeRelH>
          <wp14:sizeRelV relativeFrom="page">
            <wp14:pctHeight>0</wp14:pctHeight>
          </wp14:sizeRelV>
        </wp:anchor>
      </w:drawing>
    </w:r>
    <w:r w:rsidRPr="006F3812">
      <w:rPr>
        <w:b/>
        <w:sz w:val="24"/>
        <w:szCs w:val="24"/>
      </w:rPr>
      <w:t xml:space="preserve">     </w:t>
    </w:r>
    <w:r w:rsidRPr="006F3812">
      <w:rPr>
        <w:b/>
        <w:i/>
        <w:iCs/>
        <w:sz w:val="24"/>
        <w:szCs w:val="24"/>
        <w:u w:val="single"/>
      </w:rPr>
      <w:t xml:space="preserve">INSTITUTO DE PREVIDÊNCIA DOS SERVIDORES PÚBLICOS   </w:t>
    </w:r>
    <w:r w:rsidRPr="006F3812">
      <w:rPr>
        <w:b/>
        <w:i/>
        <w:iCs/>
        <w:sz w:val="24"/>
        <w:szCs w:val="24"/>
        <w:u w:val="single"/>
      </w:rPr>
      <w:br/>
      <w:t>DO MUNICÍPIO DE GUANHÃES</w:t>
    </w:r>
    <w:r w:rsidRPr="006F3812">
      <w:rPr>
        <w:b/>
        <w:i/>
        <w:iCs/>
        <w:sz w:val="24"/>
        <w:szCs w:val="24"/>
      </w:rPr>
      <w:t>-</w:t>
    </w:r>
    <w:r w:rsidRPr="006F3812">
      <w:rPr>
        <w:b/>
        <w:i/>
        <w:iCs/>
        <w:sz w:val="24"/>
        <w:szCs w:val="24"/>
        <w:u w:val="single"/>
      </w:rPr>
      <w:t>GUANHÃESPREV</w:t>
    </w:r>
    <w:r w:rsidRPr="006F3812">
      <w:rPr>
        <w:b/>
        <w:i/>
        <w:iCs/>
        <w:sz w:val="24"/>
        <w:szCs w:val="24"/>
        <w:u w:val="single"/>
      </w:rPr>
      <w:br/>
      <w:t>CNPJ: 05.518.895/0001-74</w:t>
    </w:r>
    <w:bookmarkEnd w:id="1"/>
    <w:r w:rsidR="009E0E2C">
      <w:rPr>
        <w:sz w:val="24"/>
        <w:szCs w:val="24"/>
      </w:rPr>
      <w:pict w14:anchorId="2FA07C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8" o:spid="_x0000_s1027" type="#_x0000_t75" style="position:absolute;left:0;text-align:left;margin-left:0;margin-top:0;width:510.25pt;height:225.45pt;z-index:-251656192;mso-position-horizontal:center;mso-position-horizontal-relative:margin;mso-position-vertical:center;mso-position-vertical-relative:margin" o:allowincell="f">
          <v:imagedata r:id="rId2" o:title="TIMBRE_page-000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6E8A" w14:textId="77777777" w:rsidR="00AE38A1" w:rsidRPr="00660AAF" w:rsidRDefault="009E0E2C">
    <w:pPr>
      <w:pStyle w:val="Cabealho"/>
    </w:pPr>
    <w:r>
      <w:pict w14:anchorId="3AE55D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6" o:spid="_x0000_s1025" type="#_x0000_t75" style="position:absolute;margin-left:0;margin-top:0;width:510.25pt;height:225.45pt;z-index:-251658240;mso-position-horizontal:center;mso-position-horizontal-relative:margin;mso-position-vertical:center;mso-position-vertical-relative:margin" o:allowincell="f">
          <v:imagedata r:id="rId1" o:title="TIMBRE_page-00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CB2869"/>
    <w:multiLevelType w:val="hybridMultilevel"/>
    <w:tmpl w:val="03A8BC7A"/>
    <w:lvl w:ilvl="0" w:tplc="1E727F5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93770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B3B"/>
    <w:rsid w:val="00030786"/>
    <w:rsid w:val="00076369"/>
    <w:rsid w:val="000B5CE0"/>
    <w:rsid w:val="000D0CC5"/>
    <w:rsid w:val="000D53E0"/>
    <w:rsid w:val="000E3358"/>
    <w:rsid w:val="00132670"/>
    <w:rsid w:val="00172DFF"/>
    <w:rsid w:val="001934BC"/>
    <w:rsid w:val="001B431C"/>
    <w:rsid w:val="001B5069"/>
    <w:rsid w:val="001E02C2"/>
    <w:rsid w:val="002B1AEE"/>
    <w:rsid w:val="002F3B54"/>
    <w:rsid w:val="0031595C"/>
    <w:rsid w:val="00330475"/>
    <w:rsid w:val="00331DA8"/>
    <w:rsid w:val="00341FB3"/>
    <w:rsid w:val="003735B0"/>
    <w:rsid w:val="003D4035"/>
    <w:rsid w:val="003E0557"/>
    <w:rsid w:val="003E3962"/>
    <w:rsid w:val="003E76CB"/>
    <w:rsid w:val="003F6D65"/>
    <w:rsid w:val="004000D1"/>
    <w:rsid w:val="004207A4"/>
    <w:rsid w:val="00425D76"/>
    <w:rsid w:val="00441214"/>
    <w:rsid w:val="004B4FFC"/>
    <w:rsid w:val="004C0962"/>
    <w:rsid w:val="004E4260"/>
    <w:rsid w:val="004E79D2"/>
    <w:rsid w:val="00505D99"/>
    <w:rsid w:val="00511D5F"/>
    <w:rsid w:val="00545113"/>
    <w:rsid w:val="005546F1"/>
    <w:rsid w:val="0057268E"/>
    <w:rsid w:val="00572B3B"/>
    <w:rsid w:val="005870CA"/>
    <w:rsid w:val="005B1CFB"/>
    <w:rsid w:val="005D5501"/>
    <w:rsid w:val="005D66FD"/>
    <w:rsid w:val="005E5F49"/>
    <w:rsid w:val="005F3F22"/>
    <w:rsid w:val="006245DB"/>
    <w:rsid w:val="00660AAF"/>
    <w:rsid w:val="0067285F"/>
    <w:rsid w:val="006A6E7F"/>
    <w:rsid w:val="006B11D8"/>
    <w:rsid w:val="006F3812"/>
    <w:rsid w:val="00702BA0"/>
    <w:rsid w:val="0072220C"/>
    <w:rsid w:val="00753965"/>
    <w:rsid w:val="0076343C"/>
    <w:rsid w:val="007E24A2"/>
    <w:rsid w:val="007E76D8"/>
    <w:rsid w:val="00815898"/>
    <w:rsid w:val="00821C70"/>
    <w:rsid w:val="00821E2B"/>
    <w:rsid w:val="008766CE"/>
    <w:rsid w:val="008B0983"/>
    <w:rsid w:val="008D0B50"/>
    <w:rsid w:val="008F28B9"/>
    <w:rsid w:val="00904BB9"/>
    <w:rsid w:val="00954710"/>
    <w:rsid w:val="00982FF5"/>
    <w:rsid w:val="009832CF"/>
    <w:rsid w:val="009A7CF4"/>
    <w:rsid w:val="009B7211"/>
    <w:rsid w:val="009D2F22"/>
    <w:rsid w:val="009E0E2C"/>
    <w:rsid w:val="009F39A6"/>
    <w:rsid w:val="00A02893"/>
    <w:rsid w:val="00A621EC"/>
    <w:rsid w:val="00A77661"/>
    <w:rsid w:val="00AA6AC1"/>
    <w:rsid w:val="00AC2144"/>
    <w:rsid w:val="00AD7B05"/>
    <w:rsid w:val="00AE3618"/>
    <w:rsid w:val="00AE38A1"/>
    <w:rsid w:val="00B132A1"/>
    <w:rsid w:val="00B35FE0"/>
    <w:rsid w:val="00B47864"/>
    <w:rsid w:val="00B645FC"/>
    <w:rsid w:val="00B7333A"/>
    <w:rsid w:val="00BB062E"/>
    <w:rsid w:val="00BB2005"/>
    <w:rsid w:val="00BF77EC"/>
    <w:rsid w:val="00C256C3"/>
    <w:rsid w:val="00C31F2F"/>
    <w:rsid w:val="00C44F39"/>
    <w:rsid w:val="00C72B68"/>
    <w:rsid w:val="00CE5B13"/>
    <w:rsid w:val="00D16F99"/>
    <w:rsid w:val="00D25F84"/>
    <w:rsid w:val="00D33890"/>
    <w:rsid w:val="00D741E5"/>
    <w:rsid w:val="00D834D3"/>
    <w:rsid w:val="00DB1D5A"/>
    <w:rsid w:val="00DF5EFC"/>
    <w:rsid w:val="00E024BB"/>
    <w:rsid w:val="00E12E13"/>
    <w:rsid w:val="00E3768E"/>
    <w:rsid w:val="00E80DB7"/>
    <w:rsid w:val="00EA4BB2"/>
    <w:rsid w:val="00EB508A"/>
    <w:rsid w:val="00EB74A7"/>
    <w:rsid w:val="00EC567C"/>
    <w:rsid w:val="00ED1652"/>
    <w:rsid w:val="00F11231"/>
    <w:rsid w:val="00F22050"/>
    <w:rsid w:val="00F72490"/>
    <w:rsid w:val="00FA50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F02CA"/>
  <w15:docId w15:val="{D3EEFC45-AD79-44B1-9B69-ABB95EBFF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3E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E76D8"/>
    <w:rPr>
      <w:color w:val="0000FF" w:themeColor="hyperlink"/>
      <w:u w:val="single"/>
    </w:rPr>
  </w:style>
  <w:style w:type="table" w:styleId="Tabelacomgrade">
    <w:name w:val="Table Grid"/>
    <w:basedOn w:val="Tabelanormal"/>
    <w:uiPriority w:val="39"/>
    <w:rsid w:val="0098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AE38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E38A1"/>
  </w:style>
  <w:style w:type="paragraph" w:styleId="Rodap">
    <w:name w:val="footer"/>
    <w:basedOn w:val="Normal"/>
    <w:link w:val="RodapChar"/>
    <w:uiPriority w:val="99"/>
    <w:unhideWhenUsed/>
    <w:rsid w:val="00AE38A1"/>
    <w:pPr>
      <w:tabs>
        <w:tab w:val="center" w:pos="4252"/>
        <w:tab w:val="right" w:pos="8504"/>
      </w:tabs>
      <w:spacing w:after="0" w:line="240" w:lineRule="auto"/>
    </w:pPr>
  </w:style>
  <w:style w:type="character" w:customStyle="1" w:styleId="RodapChar">
    <w:name w:val="Rodapé Char"/>
    <w:basedOn w:val="Fontepargpadro"/>
    <w:link w:val="Rodap"/>
    <w:uiPriority w:val="99"/>
    <w:rsid w:val="00AE38A1"/>
  </w:style>
  <w:style w:type="character" w:styleId="MenoPendente">
    <w:name w:val="Unresolved Mention"/>
    <w:basedOn w:val="Fontepargpadro"/>
    <w:uiPriority w:val="99"/>
    <w:semiHidden/>
    <w:unhideWhenUsed/>
    <w:rsid w:val="006B11D8"/>
    <w:rPr>
      <w:color w:val="605E5C"/>
      <w:shd w:val="clear" w:color="auto" w:fill="E1DFDD"/>
    </w:rPr>
  </w:style>
  <w:style w:type="paragraph" w:styleId="PargrafodaLista">
    <w:name w:val="List Paragraph"/>
    <w:basedOn w:val="Normal"/>
    <w:uiPriority w:val="34"/>
    <w:qFormat/>
    <w:rsid w:val="000D0CC5"/>
    <w:pPr>
      <w:spacing w:after="160" w:line="259" w:lineRule="auto"/>
      <w:ind w:left="720"/>
      <w:contextualSpacing/>
    </w:pPr>
    <w:rPr>
      <w:kern w:val="2"/>
      <w14:ligatures w14:val="standardContextual"/>
    </w:rPr>
  </w:style>
  <w:style w:type="paragraph" w:styleId="SemEspaamento">
    <w:name w:val="No Spacing"/>
    <w:uiPriority w:val="1"/>
    <w:qFormat/>
    <w:rsid w:val="00545113"/>
    <w:pPr>
      <w:spacing w:after="0" w:line="240" w:lineRule="auto"/>
    </w:pPr>
    <w:rPr>
      <w:rFonts w:eastAsiaTheme="minorEastAsia"/>
      <w:lang w:val="en-US"/>
    </w:rPr>
  </w:style>
  <w:style w:type="paragraph" w:styleId="NormalWeb">
    <w:name w:val="Normal (Web)"/>
    <w:basedOn w:val="Normal"/>
    <w:uiPriority w:val="99"/>
    <w:semiHidden/>
    <w:unhideWhenUsed/>
    <w:rsid w:val="001934B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03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C2435-826A-465E-8D50-C39ACE9D7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880</TotalTime>
  <Pages>4</Pages>
  <Words>1995</Words>
  <Characters>10773</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Cliente</cp:lastModifiedBy>
  <cp:revision>28</cp:revision>
  <cp:lastPrinted>2026-04-17T19:30:00Z</cp:lastPrinted>
  <dcterms:created xsi:type="dcterms:W3CDTF">2025-09-26T13:52:00Z</dcterms:created>
  <dcterms:modified xsi:type="dcterms:W3CDTF">2026-05-29T17:51:00Z</dcterms:modified>
</cp:coreProperties>
</file>